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98" w:rsidRPr="006B4E0C" w:rsidRDefault="00AB3F98" w:rsidP="00AB3F98">
      <w:pPr>
        <w:jc w:val="center"/>
        <w:rPr>
          <w:rFonts w:ascii="Times New Roman" w:hAnsi="Times New Roman" w:cs="Times New Roman"/>
          <w:b/>
        </w:rPr>
      </w:pPr>
      <w:r w:rsidRPr="006B4E0C">
        <w:rPr>
          <w:rFonts w:ascii="Times New Roman" w:hAnsi="Times New Roman" w:cs="Times New Roman"/>
          <w:b/>
        </w:rPr>
        <w:t>Traffic Appeals Court</w:t>
      </w:r>
      <w:bookmarkStart w:id="0" w:name="_GoBack"/>
      <w:bookmarkEnd w:id="0"/>
      <w:r w:rsidRPr="006B4E0C">
        <w:rPr>
          <w:rFonts w:ascii="Times New Roman" w:hAnsi="Times New Roman" w:cs="Times New Roman"/>
          <w:b/>
        </w:rPr>
        <w:br/>
        <w:t>Annual Report- FY15</w:t>
      </w:r>
    </w:p>
    <w:p w:rsidR="00AB3F98" w:rsidRPr="006B4E0C" w:rsidRDefault="00AB3F98" w:rsidP="00AB3F98">
      <w:pPr>
        <w:rPr>
          <w:rFonts w:ascii="Times New Roman" w:hAnsi="Times New Roman" w:cs="Times New Roman"/>
        </w:rPr>
      </w:pPr>
      <w:r w:rsidRPr="006B4E0C">
        <w:rPr>
          <w:rFonts w:ascii="Times New Roman" w:hAnsi="Times New Roman" w:cs="Times New Roman"/>
        </w:rPr>
        <w:t>The Univers</w:t>
      </w:r>
      <w:r w:rsidR="004D6B9F" w:rsidRPr="006B4E0C">
        <w:rPr>
          <w:rFonts w:ascii="Times New Roman" w:hAnsi="Times New Roman" w:cs="Times New Roman"/>
        </w:rPr>
        <w:t>ity Traffic Appeals Court met 11</w:t>
      </w:r>
      <w:r w:rsidRPr="006B4E0C">
        <w:rPr>
          <w:rFonts w:ascii="Times New Roman" w:hAnsi="Times New Roman" w:cs="Times New Roman"/>
        </w:rPr>
        <w:t xml:space="preserve"> times in FY15: July 17, 2014, September 18, 2014, October 16, 2014, November 1</w:t>
      </w:r>
      <w:r w:rsidR="004D6B9F" w:rsidRPr="006B4E0C">
        <w:rPr>
          <w:rFonts w:ascii="Times New Roman" w:hAnsi="Times New Roman" w:cs="Times New Roman"/>
        </w:rPr>
        <w:t>3, 2014, December 11, 2014, January 22, 2015</w:t>
      </w:r>
      <w:r w:rsidRPr="006B4E0C">
        <w:rPr>
          <w:rFonts w:ascii="Times New Roman" w:hAnsi="Times New Roman" w:cs="Times New Roman"/>
        </w:rPr>
        <w:t xml:space="preserve">, February 19, 2015, March 19, 2015, April 16, 2015, May 21, 2015, and June 25, 2015. </w:t>
      </w:r>
    </w:p>
    <w:p w:rsidR="00AB3F98" w:rsidRPr="006B4E0C" w:rsidRDefault="00AB3F98" w:rsidP="00AB3F98">
      <w:pPr>
        <w:rPr>
          <w:rFonts w:ascii="Times New Roman" w:hAnsi="Times New Roman" w:cs="Times New Roman"/>
        </w:rPr>
      </w:pPr>
      <w:r w:rsidRPr="006B4E0C">
        <w:rPr>
          <w:rFonts w:ascii="Times New Roman" w:hAnsi="Times New Roman" w:cs="Times New Roman"/>
          <w:u w:val="single"/>
        </w:rPr>
        <w:t>Members of the Traffic Appeals Court for FY15 included:</w:t>
      </w:r>
      <w:r w:rsidRPr="006B4E0C">
        <w:rPr>
          <w:rFonts w:ascii="Times New Roman" w:hAnsi="Times New Roman" w:cs="Times New Roman"/>
        </w:rPr>
        <w:br/>
        <w:t>Faculty: Chris Shields, Suresh Kumar, Omar Manasreh, Jim Gigantino</w:t>
      </w:r>
    </w:p>
    <w:p w:rsidR="00AB3F98" w:rsidRPr="006B4E0C" w:rsidRDefault="00AB3F98" w:rsidP="00AB3F98">
      <w:pPr>
        <w:rPr>
          <w:rFonts w:ascii="Times New Roman" w:hAnsi="Times New Roman" w:cs="Times New Roman"/>
        </w:rPr>
      </w:pPr>
      <w:r w:rsidRPr="006B4E0C">
        <w:rPr>
          <w:rFonts w:ascii="Times New Roman" w:hAnsi="Times New Roman" w:cs="Times New Roman"/>
        </w:rPr>
        <w:t>Staff: Kristin DeAngelo, Whitney Srsen, Robert Ainley, Hershel Hartford</w:t>
      </w:r>
    </w:p>
    <w:p w:rsidR="00AB3F98" w:rsidRPr="006B4E0C" w:rsidRDefault="00AB3F98" w:rsidP="00AB3F98">
      <w:pPr>
        <w:rPr>
          <w:rFonts w:ascii="Times New Roman" w:hAnsi="Times New Roman" w:cs="Times New Roman"/>
        </w:rPr>
      </w:pPr>
      <w:r w:rsidRPr="006B4E0C">
        <w:rPr>
          <w:rFonts w:ascii="Times New Roman" w:hAnsi="Times New Roman" w:cs="Times New Roman"/>
        </w:rPr>
        <w:t xml:space="preserve">Students: Cory English and Chase Randall </w:t>
      </w:r>
    </w:p>
    <w:p w:rsidR="00AB3F98" w:rsidRPr="006B4E0C" w:rsidRDefault="00AB3F98" w:rsidP="00AB3F98">
      <w:pPr>
        <w:rPr>
          <w:rFonts w:ascii="Times New Roman" w:hAnsi="Times New Roman" w:cs="Times New Roman"/>
        </w:rPr>
      </w:pPr>
      <w:r w:rsidRPr="006B4E0C">
        <w:rPr>
          <w:rFonts w:ascii="Times New Roman" w:hAnsi="Times New Roman" w:cs="Times New Roman"/>
        </w:rPr>
        <w:t>University Police Representative: Steve Ceniceros</w:t>
      </w:r>
    </w:p>
    <w:p w:rsidR="00AB3F98" w:rsidRPr="006B4E0C" w:rsidRDefault="00AB3F98" w:rsidP="00AB3F98">
      <w:pPr>
        <w:rPr>
          <w:rFonts w:ascii="Times New Roman" w:hAnsi="Times New Roman" w:cs="Times New Roman"/>
        </w:rPr>
      </w:pPr>
      <w:r w:rsidRPr="006B4E0C">
        <w:rPr>
          <w:rFonts w:ascii="Times New Roman" w:hAnsi="Times New Roman" w:cs="Times New Roman"/>
        </w:rPr>
        <w:t>Parking and Transit Representatives (non-voting): Reta Lee and Georgan Prince</w:t>
      </w:r>
    </w:p>
    <w:p w:rsidR="00AB3F98" w:rsidRPr="006B4E0C" w:rsidRDefault="00AB3F98" w:rsidP="00AB3F98">
      <w:pPr>
        <w:rPr>
          <w:rFonts w:ascii="Times New Roman" w:hAnsi="Times New Roman" w:cs="Times New Roman"/>
        </w:rPr>
      </w:pPr>
      <w:r w:rsidRPr="006B4E0C">
        <w:rPr>
          <w:rFonts w:ascii="Times New Roman" w:hAnsi="Times New Roman" w:cs="Times New Roman"/>
        </w:rPr>
        <w:t xml:space="preserve">In FY15, </w:t>
      </w:r>
      <w:r w:rsidR="004D6B9F" w:rsidRPr="006B4E0C">
        <w:rPr>
          <w:rFonts w:ascii="Times New Roman" w:hAnsi="Times New Roman" w:cs="Times New Roman"/>
        </w:rPr>
        <w:t xml:space="preserve">273 </w:t>
      </w:r>
      <w:r w:rsidRPr="006B4E0C">
        <w:rPr>
          <w:rFonts w:ascii="Times New Roman" w:hAnsi="Times New Roman" w:cs="Times New Roman"/>
        </w:rPr>
        <w:t xml:space="preserve">appeals of University traffic and parking violations were filed, which represents a </w:t>
      </w:r>
      <w:r w:rsidR="00A30AF1" w:rsidRPr="006B4E0C">
        <w:rPr>
          <w:rFonts w:ascii="Times New Roman" w:hAnsi="Times New Roman" w:cs="Times New Roman"/>
        </w:rPr>
        <w:t xml:space="preserve">48% </w:t>
      </w:r>
      <w:r w:rsidRPr="006B4E0C">
        <w:rPr>
          <w:rFonts w:ascii="Times New Roman" w:hAnsi="Times New Roman" w:cs="Times New Roman"/>
        </w:rPr>
        <w:t>decrease f</w:t>
      </w:r>
      <w:r w:rsidR="006B0B94" w:rsidRPr="006B4E0C">
        <w:rPr>
          <w:rFonts w:ascii="Times New Roman" w:hAnsi="Times New Roman" w:cs="Times New Roman"/>
        </w:rPr>
        <w:t xml:space="preserve">rom FY14 when 523 were filed. The decline in FY15 is likely due to the Office of Parking and Transit not being able to offer the option to appeal online. Of these </w:t>
      </w:r>
      <w:r w:rsidR="004D6B9F" w:rsidRPr="006B4E0C">
        <w:rPr>
          <w:rFonts w:ascii="Times New Roman" w:hAnsi="Times New Roman" w:cs="Times New Roman"/>
        </w:rPr>
        <w:t xml:space="preserve">273 </w:t>
      </w:r>
      <w:r w:rsidR="006B0B94" w:rsidRPr="006B4E0C">
        <w:rPr>
          <w:rFonts w:ascii="Times New Roman" w:hAnsi="Times New Roman" w:cs="Times New Roman"/>
        </w:rPr>
        <w:t>cases,</w:t>
      </w:r>
      <w:r w:rsidR="004D6B9F" w:rsidRPr="006B4E0C">
        <w:rPr>
          <w:rFonts w:ascii="Times New Roman" w:hAnsi="Times New Roman" w:cs="Times New Roman"/>
        </w:rPr>
        <w:t xml:space="preserve"> 22</w:t>
      </w:r>
      <w:r w:rsidR="006B0B94" w:rsidRPr="006B4E0C">
        <w:rPr>
          <w:rFonts w:ascii="Times New Roman" w:hAnsi="Times New Roman" w:cs="Times New Roman"/>
        </w:rPr>
        <w:t xml:space="preserve"> of them are second appeal (an oral appeal) requested </w:t>
      </w:r>
      <w:r w:rsidR="00A30AF1" w:rsidRPr="006B4E0C">
        <w:rPr>
          <w:rFonts w:ascii="Times New Roman" w:hAnsi="Times New Roman" w:cs="Times New Roman"/>
        </w:rPr>
        <w:t>by the appellants. This is a 43%</w:t>
      </w:r>
      <w:r w:rsidR="006B0B94" w:rsidRPr="006B4E0C">
        <w:rPr>
          <w:rFonts w:ascii="Times New Roman" w:hAnsi="Times New Roman" w:cs="Times New Roman"/>
        </w:rPr>
        <w:t xml:space="preserve"> decrease from FY14 when 39 appellants requested a second appeal. The disposition of these cases is below:</w:t>
      </w:r>
    </w:p>
    <w:p w:rsidR="006B0B94" w:rsidRPr="006B4E0C" w:rsidRDefault="006B0B94" w:rsidP="00AB3F98">
      <w:pPr>
        <w:rPr>
          <w:rFonts w:ascii="Times New Roman" w:hAnsi="Times New Roman" w:cs="Times New Roman"/>
          <w:u w:val="single"/>
        </w:rPr>
      </w:pPr>
      <w:r w:rsidRPr="006B4E0C">
        <w:rPr>
          <w:rFonts w:ascii="Times New Roman" w:hAnsi="Times New Roman" w:cs="Times New Roman"/>
          <w:u w:val="single"/>
        </w:rPr>
        <w:t>Written Appeals</w:t>
      </w:r>
    </w:p>
    <w:tbl>
      <w:tblPr>
        <w:tblStyle w:val="TableGrid"/>
        <w:tblW w:w="0" w:type="auto"/>
        <w:tblLook w:val="04A0" w:firstRow="1" w:lastRow="0" w:firstColumn="1" w:lastColumn="0" w:noHBand="0" w:noVBand="1"/>
      </w:tblPr>
      <w:tblGrid>
        <w:gridCol w:w="3116"/>
        <w:gridCol w:w="3117"/>
        <w:gridCol w:w="3117"/>
      </w:tblGrid>
      <w:tr w:rsidR="006B0B94" w:rsidRPr="006B4E0C" w:rsidTr="006B0B94">
        <w:tc>
          <w:tcPr>
            <w:tcW w:w="3116" w:type="dxa"/>
          </w:tcPr>
          <w:p w:rsidR="006B0B94" w:rsidRPr="006B4E0C" w:rsidRDefault="006B0B94" w:rsidP="00AB3F98">
            <w:pPr>
              <w:rPr>
                <w:rFonts w:ascii="Times New Roman" w:hAnsi="Times New Roman" w:cs="Times New Roman"/>
                <w:b/>
              </w:rPr>
            </w:pPr>
            <w:r w:rsidRPr="006B4E0C">
              <w:rPr>
                <w:rFonts w:ascii="Times New Roman" w:hAnsi="Times New Roman" w:cs="Times New Roman"/>
                <w:b/>
              </w:rPr>
              <w:t>Disposition</w:t>
            </w:r>
          </w:p>
        </w:tc>
        <w:tc>
          <w:tcPr>
            <w:tcW w:w="3117" w:type="dxa"/>
          </w:tcPr>
          <w:p w:rsidR="006B0B94" w:rsidRPr="006B4E0C" w:rsidRDefault="006B0B94" w:rsidP="008B6E05">
            <w:pPr>
              <w:jc w:val="center"/>
              <w:rPr>
                <w:rFonts w:ascii="Times New Roman" w:hAnsi="Times New Roman" w:cs="Times New Roman"/>
                <w:b/>
              </w:rPr>
            </w:pPr>
            <w:r w:rsidRPr="006B4E0C">
              <w:rPr>
                <w:rFonts w:ascii="Times New Roman" w:hAnsi="Times New Roman" w:cs="Times New Roman"/>
                <w:b/>
              </w:rPr>
              <w:t>Number of Appeals</w:t>
            </w:r>
          </w:p>
        </w:tc>
        <w:tc>
          <w:tcPr>
            <w:tcW w:w="3117" w:type="dxa"/>
          </w:tcPr>
          <w:p w:rsidR="006B0B94" w:rsidRPr="006B4E0C" w:rsidRDefault="006B0B94" w:rsidP="008B6E05">
            <w:pPr>
              <w:jc w:val="center"/>
              <w:rPr>
                <w:rFonts w:ascii="Times New Roman" w:hAnsi="Times New Roman" w:cs="Times New Roman"/>
                <w:b/>
              </w:rPr>
            </w:pPr>
            <w:r w:rsidRPr="006B4E0C">
              <w:rPr>
                <w:rFonts w:ascii="Times New Roman" w:hAnsi="Times New Roman" w:cs="Times New Roman"/>
                <w:b/>
              </w:rPr>
              <w:t>Percentage</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Upheld (Finding for the appellant)</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13</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5%</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Denied</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166</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66%</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Fine Reduced</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17</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7%</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Warnings</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55</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22%</w:t>
            </w:r>
          </w:p>
        </w:tc>
      </w:tr>
    </w:tbl>
    <w:p w:rsidR="006B0B94" w:rsidRPr="006B4E0C" w:rsidRDefault="006B0B94" w:rsidP="00AB3F98">
      <w:pPr>
        <w:rPr>
          <w:rFonts w:ascii="Times New Roman" w:hAnsi="Times New Roman" w:cs="Times New Roman"/>
        </w:rPr>
      </w:pPr>
    </w:p>
    <w:p w:rsidR="006B0B94" w:rsidRPr="006B4E0C" w:rsidRDefault="006B0B94" w:rsidP="00AB3F98">
      <w:pPr>
        <w:rPr>
          <w:rFonts w:ascii="Times New Roman" w:hAnsi="Times New Roman" w:cs="Times New Roman"/>
          <w:b/>
          <w:u w:val="single"/>
        </w:rPr>
      </w:pPr>
      <w:r w:rsidRPr="006B4E0C">
        <w:rPr>
          <w:rFonts w:ascii="Times New Roman" w:hAnsi="Times New Roman" w:cs="Times New Roman"/>
          <w:u w:val="single"/>
        </w:rPr>
        <w:t>Oral Appeals</w:t>
      </w:r>
    </w:p>
    <w:tbl>
      <w:tblPr>
        <w:tblStyle w:val="TableGrid"/>
        <w:tblW w:w="0" w:type="auto"/>
        <w:tblLook w:val="04A0" w:firstRow="1" w:lastRow="0" w:firstColumn="1" w:lastColumn="0" w:noHBand="0" w:noVBand="1"/>
      </w:tblPr>
      <w:tblGrid>
        <w:gridCol w:w="3116"/>
        <w:gridCol w:w="3117"/>
        <w:gridCol w:w="3117"/>
      </w:tblGrid>
      <w:tr w:rsidR="006B0B94" w:rsidRPr="006B4E0C" w:rsidTr="006B0B94">
        <w:tc>
          <w:tcPr>
            <w:tcW w:w="3116" w:type="dxa"/>
          </w:tcPr>
          <w:p w:rsidR="006B0B94" w:rsidRPr="006B4E0C" w:rsidRDefault="006B0B94" w:rsidP="00AB3F98">
            <w:pPr>
              <w:rPr>
                <w:rFonts w:ascii="Times New Roman" w:hAnsi="Times New Roman" w:cs="Times New Roman"/>
                <w:b/>
              </w:rPr>
            </w:pPr>
            <w:r w:rsidRPr="006B4E0C">
              <w:rPr>
                <w:rFonts w:ascii="Times New Roman" w:hAnsi="Times New Roman" w:cs="Times New Roman"/>
                <w:b/>
              </w:rPr>
              <w:t>Disposition</w:t>
            </w:r>
          </w:p>
        </w:tc>
        <w:tc>
          <w:tcPr>
            <w:tcW w:w="3117" w:type="dxa"/>
          </w:tcPr>
          <w:p w:rsidR="006B0B94" w:rsidRPr="006B4E0C" w:rsidRDefault="006B0B94" w:rsidP="008B6E05">
            <w:pPr>
              <w:jc w:val="center"/>
              <w:rPr>
                <w:rFonts w:ascii="Times New Roman" w:hAnsi="Times New Roman" w:cs="Times New Roman"/>
                <w:b/>
              </w:rPr>
            </w:pPr>
            <w:r w:rsidRPr="006B4E0C">
              <w:rPr>
                <w:rFonts w:ascii="Times New Roman" w:hAnsi="Times New Roman" w:cs="Times New Roman"/>
                <w:b/>
              </w:rPr>
              <w:t>Number of Appeals</w:t>
            </w:r>
          </w:p>
        </w:tc>
        <w:tc>
          <w:tcPr>
            <w:tcW w:w="3117" w:type="dxa"/>
          </w:tcPr>
          <w:p w:rsidR="006B0B94" w:rsidRPr="006B4E0C" w:rsidRDefault="006B0B94" w:rsidP="008B6E05">
            <w:pPr>
              <w:jc w:val="center"/>
              <w:rPr>
                <w:rFonts w:ascii="Times New Roman" w:hAnsi="Times New Roman" w:cs="Times New Roman"/>
                <w:b/>
              </w:rPr>
            </w:pPr>
            <w:r w:rsidRPr="006B4E0C">
              <w:rPr>
                <w:rFonts w:ascii="Times New Roman" w:hAnsi="Times New Roman" w:cs="Times New Roman"/>
                <w:b/>
              </w:rPr>
              <w:t>Percentage</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Upheld (Finding for the appellant)</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0</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0%</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Denied</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12</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54%</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Fine Reduced</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1</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5%</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Warnings</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4</w:t>
            </w:r>
          </w:p>
        </w:tc>
        <w:tc>
          <w:tcPr>
            <w:tcW w:w="3117" w:type="dxa"/>
          </w:tcPr>
          <w:p w:rsidR="006B0B94" w:rsidRPr="006B4E0C" w:rsidRDefault="00181D81" w:rsidP="00181D81">
            <w:pPr>
              <w:jc w:val="center"/>
              <w:rPr>
                <w:rFonts w:ascii="Times New Roman" w:hAnsi="Times New Roman" w:cs="Times New Roman"/>
              </w:rPr>
            </w:pPr>
            <w:r w:rsidRPr="006B4E0C">
              <w:rPr>
                <w:rFonts w:ascii="Times New Roman" w:hAnsi="Times New Roman" w:cs="Times New Roman"/>
              </w:rPr>
              <w:t>18%</w:t>
            </w:r>
          </w:p>
        </w:tc>
      </w:tr>
      <w:tr w:rsidR="006B0B94" w:rsidRPr="006B4E0C" w:rsidTr="006B0B94">
        <w:tc>
          <w:tcPr>
            <w:tcW w:w="3116" w:type="dxa"/>
          </w:tcPr>
          <w:p w:rsidR="006B0B94" w:rsidRPr="006B4E0C" w:rsidRDefault="006B0B94" w:rsidP="00AB3F98">
            <w:pPr>
              <w:rPr>
                <w:rFonts w:ascii="Times New Roman" w:hAnsi="Times New Roman" w:cs="Times New Roman"/>
              </w:rPr>
            </w:pPr>
            <w:r w:rsidRPr="006B4E0C">
              <w:rPr>
                <w:rFonts w:ascii="Times New Roman" w:hAnsi="Times New Roman" w:cs="Times New Roman"/>
              </w:rPr>
              <w:t>Denied due to No Appearance</w:t>
            </w:r>
          </w:p>
        </w:tc>
        <w:tc>
          <w:tcPr>
            <w:tcW w:w="3117" w:type="dxa"/>
          </w:tcPr>
          <w:p w:rsidR="006B0B94" w:rsidRPr="006B4E0C" w:rsidRDefault="004D6B9F" w:rsidP="00181D81">
            <w:pPr>
              <w:jc w:val="center"/>
              <w:rPr>
                <w:rFonts w:ascii="Times New Roman" w:hAnsi="Times New Roman" w:cs="Times New Roman"/>
              </w:rPr>
            </w:pPr>
            <w:r w:rsidRPr="006B4E0C">
              <w:rPr>
                <w:rFonts w:ascii="Times New Roman" w:hAnsi="Times New Roman" w:cs="Times New Roman"/>
              </w:rPr>
              <w:t>5</w:t>
            </w:r>
          </w:p>
        </w:tc>
        <w:tc>
          <w:tcPr>
            <w:tcW w:w="3117" w:type="dxa"/>
          </w:tcPr>
          <w:p w:rsidR="006B0B94" w:rsidRPr="006B4E0C" w:rsidRDefault="00060761" w:rsidP="00181D81">
            <w:pPr>
              <w:jc w:val="center"/>
              <w:rPr>
                <w:rFonts w:ascii="Times New Roman" w:hAnsi="Times New Roman" w:cs="Times New Roman"/>
              </w:rPr>
            </w:pPr>
            <w:r>
              <w:rPr>
                <w:rFonts w:ascii="Times New Roman" w:hAnsi="Times New Roman" w:cs="Times New Roman"/>
              </w:rPr>
              <w:t>23%</w:t>
            </w:r>
          </w:p>
        </w:tc>
      </w:tr>
    </w:tbl>
    <w:p w:rsidR="006B0B94" w:rsidRDefault="006B0B94" w:rsidP="00AB3F98">
      <w:pPr>
        <w:rPr>
          <w:rFonts w:ascii="Times New Roman" w:hAnsi="Times New Roman" w:cs="Times New Roman"/>
        </w:rPr>
      </w:pPr>
    </w:p>
    <w:p w:rsidR="006B4E0C" w:rsidRDefault="006B4E0C" w:rsidP="00AB3F98">
      <w:pPr>
        <w:rPr>
          <w:rFonts w:ascii="Times New Roman" w:hAnsi="Times New Roman" w:cs="Times New Roman"/>
        </w:rPr>
      </w:pPr>
    </w:p>
    <w:p w:rsidR="006B4E0C" w:rsidRPr="006B4E0C" w:rsidRDefault="006B4E0C" w:rsidP="00AB3F98">
      <w:pPr>
        <w:rPr>
          <w:rFonts w:ascii="Times New Roman" w:hAnsi="Times New Roman" w:cs="Times New Roman"/>
        </w:rPr>
      </w:pPr>
    </w:p>
    <w:p w:rsidR="006B0B94" w:rsidRPr="006B4E0C" w:rsidRDefault="006B0B94" w:rsidP="00AB3F98">
      <w:pPr>
        <w:rPr>
          <w:rFonts w:ascii="Times New Roman" w:hAnsi="Times New Roman" w:cs="Times New Roman"/>
        </w:rPr>
      </w:pPr>
      <w:r w:rsidRPr="006B4E0C">
        <w:rPr>
          <w:rFonts w:ascii="Times New Roman" w:hAnsi="Times New Roman" w:cs="Times New Roman"/>
        </w:rPr>
        <w:lastRenderedPageBreak/>
        <w:t>The members of the Traffic Appeals Court made the following recommendations to the University Transit and Parking Department:</w:t>
      </w:r>
    </w:p>
    <w:p w:rsidR="006B0B94" w:rsidRPr="006B4E0C" w:rsidRDefault="00CA62F2" w:rsidP="006B0B94">
      <w:pPr>
        <w:pStyle w:val="ListParagraph"/>
        <w:numPr>
          <w:ilvl w:val="0"/>
          <w:numId w:val="1"/>
        </w:numPr>
        <w:rPr>
          <w:rFonts w:ascii="Times New Roman" w:hAnsi="Times New Roman" w:cs="Times New Roman"/>
        </w:rPr>
      </w:pPr>
      <w:r>
        <w:rPr>
          <w:rFonts w:ascii="Times New Roman" w:hAnsi="Times New Roman" w:cs="Times New Roman"/>
        </w:rPr>
        <w:t>Repaint and r</w:t>
      </w:r>
      <w:r w:rsidR="006B0B94" w:rsidRPr="006B4E0C">
        <w:rPr>
          <w:rFonts w:ascii="Times New Roman" w:hAnsi="Times New Roman" w:cs="Times New Roman"/>
        </w:rPr>
        <w:t>esign Biochemistry building</w:t>
      </w:r>
    </w:p>
    <w:p w:rsidR="006B0B94" w:rsidRPr="006B4E0C" w:rsidRDefault="006B0B94" w:rsidP="006B0B94">
      <w:pPr>
        <w:pStyle w:val="ListParagraph"/>
        <w:numPr>
          <w:ilvl w:val="0"/>
          <w:numId w:val="1"/>
        </w:numPr>
        <w:rPr>
          <w:rFonts w:ascii="Times New Roman" w:hAnsi="Times New Roman" w:cs="Times New Roman"/>
        </w:rPr>
      </w:pPr>
      <w:r w:rsidRPr="006B4E0C">
        <w:rPr>
          <w:rFonts w:ascii="Times New Roman" w:hAnsi="Times New Roman" w:cs="Times New Roman"/>
        </w:rPr>
        <w:t>Send emails to campus listserv stating parking regulations for large events (football, basketball, winter break, etc.)</w:t>
      </w:r>
    </w:p>
    <w:p w:rsidR="006B0B94" w:rsidRPr="006B4E0C" w:rsidRDefault="006B0B94" w:rsidP="006B0B94">
      <w:pPr>
        <w:pStyle w:val="ListParagraph"/>
        <w:numPr>
          <w:ilvl w:val="0"/>
          <w:numId w:val="1"/>
        </w:numPr>
        <w:rPr>
          <w:rFonts w:ascii="Times New Roman" w:hAnsi="Times New Roman" w:cs="Times New Roman"/>
        </w:rPr>
      </w:pPr>
      <w:r w:rsidRPr="006B4E0C">
        <w:rPr>
          <w:rFonts w:ascii="Times New Roman" w:hAnsi="Times New Roman" w:cs="Times New Roman"/>
        </w:rPr>
        <w:t xml:space="preserve"> Replacement of bollards by Walton Hall for safety of pedestrians</w:t>
      </w:r>
    </w:p>
    <w:p w:rsidR="006B0B94" w:rsidRPr="006B4E0C" w:rsidRDefault="006B0B94" w:rsidP="006B0B94">
      <w:pPr>
        <w:rPr>
          <w:rFonts w:ascii="Times New Roman" w:hAnsi="Times New Roman" w:cs="Times New Roman"/>
        </w:rPr>
      </w:pPr>
    </w:p>
    <w:p w:rsidR="006B0B94" w:rsidRPr="006B4E0C" w:rsidRDefault="004D6B9F" w:rsidP="006B0B94">
      <w:pPr>
        <w:rPr>
          <w:rFonts w:ascii="Times New Roman" w:hAnsi="Times New Roman" w:cs="Times New Roman"/>
        </w:rPr>
      </w:pPr>
      <w:r w:rsidRPr="006B4E0C">
        <w:rPr>
          <w:rFonts w:ascii="Times New Roman" w:hAnsi="Times New Roman" w:cs="Times New Roman"/>
        </w:rPr>
        <w:t>Respectfully submitted June 25</w:t>
      </w:r>
      <w:r w:rsidR="006B0B94" w:rsidRPr="006B4E0C">
        <w:rPr>
          <w:rFonts w:ascii="Times New Roman" w:hAnsi="Times New Roman" w:cs="Times New Roman"/>
        </w:rPr>
        <w:t>, 2015</w:t>
      </w:r>
    </w:p>
    <w:p w:rsidR="006B0B94" w:rsidRPr="006B4E0C" w:rsidRDefault="006B0B94" w:rsidP="006B0B94">
      <w:pPr>
        <w:rPr>
          <w:rFonts w:ascii="Times New Roman" w:hAnsi="Times New Roman" w:cs="Times New Roman"/>
        </w:rPr>
      </w:pPr>
      <w:r w:rsidRPr="006B4E0C">
        <w:rPr>
          <w:rFonts w:ascii="Times New Roman" w:hAnsi="Times New Roman" w:cs="Times New Roman"/>
        </w:rPr>
        <w:t>Kristin DeAngelo</w:t>
      </w:r>
      <w:r w:rsidRPr="006B4E0C">
        <w:rPr>
          <w:rFonts w:ascii="Times New Roman" w:hAnsi="Times New Roman" w:cs="Times New Roman"/>
        </w:rPr>
        <w:br/>
        <w:t>Chair, Traffic Appeals Court and Assistant Director of University Recreation</w:t>
      </w:r>
    </w:p>
    <w:sectPr w:rsidR="006B0B94" w:rsidRPr="006B4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22B20"/>
    <w:multiLevelType w:val="hybridMultilevel"/>
    <w:tmpl w:val="4E8A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8"/>
    <w:rsid w:val="00060761"/>
    <w:rsid w:val="00181D81"/>
    <w:rsid w:val="004D6B9F"/>
    <w:rsid w:val="005A254F"/>
    <w:rsid w:val="00691DEB"/>
    <w:rsid w:val="006B0B94"/>
    <w:rsid w:val="006B4E0C"/>
    <w:rsid w:val="008B6E05"/>
    <w:rsid w:val="009C3545"/>
    <w:rsid w:val="00A30AF1"/>
    <w:rsid w:val="00AB3F98"/>
    <w:rsid w:val="00CA62F2"/>
    <w:rsid w:val="00DC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1945-1038-4BD1-ACC1-AEEAE778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Durant DeAngelo</dc:creator>
  <cp:keywords/>
  <dc:description/>
  <cp:lastModifiedBy>Jessica Hulse</cp:lastModifiedBy>
  <cp:revision>2</cp:revision>
  <dcterms:created xsi:type="dcterms:W3CDTF">2015-07-14T19:13:00Z</dcterms:created>
  <dcterms:modified xsi:type="dcterms:W3CDTF">2015-07-14T19:13:00Z</dcterms:modified>
</cp:coreProperties>
</file>